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A69BA" w14:textId="70F9F1B7" w:rsidR="00700EF5"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 xml:space="preserve">Tdoc </w:t>
      </w:r>
      <w:r w:rsidR="009E7D1A" w:rsidRPr="009E7D1A">
        <w:rPr>
          <w:sz w:val="32"/>
          <w:szCs w:val="32"/>
        </w:rPr>
        <w:t>R2-1803153</w:t>
      </w:r>
    </w:p>
    <w:p w14:paraId="2EF6F830" w14:textId="054032D0" w:rsidR="00C95BD8" w:rsidRPr="00C95BD8" w:rsidRDefault="00C95BD8" w:rsidP="00C95BD8">
      <w:pPr>
        <w:pStyle w:val="3GPPHeader"/>
        <w:spacing w:after="60"/>
        <w:jc w:val="right"/>
        <w:rPr>
          <w:sz w:val="20"/>
          <w:highlight w:val="yellow"/>
        </w:rPr>
      </w:pPr>
      <w:bookmarkStart w:id="0" w:name="_GoBack"/>
      <w:bookmarkEnd w:id="0"/>
    </w:p>
    <w:p w14:paraId="539C0767"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004E10C9" w:rsidRPr="00D323F0">
        <w:rPr>
          <w:vertAlign w:val="superscript"/>
        </w:rPr>
        <w:t>th</w:t>
      </w:r>
      <w:r w:rsidR="004E10C9">
        <w:t xml:space="preserve"> February</w:t>
      </w:r>
      <w:r w:rsidR="005E03C7">
        <w:t xml:space="preserve"> </w:t>
      </w:r>
      <w:r w:rsidR="00700EF5" w:rsidRPr="00631CA0">
        <w:t xml:space="preserve">– </w:t>
      </w:r>
      <w:r>
        <w:t>2</w:t>
      </w:r>
      <w:r w:rsidR="00C95BD8" w:rsidRPr="00D323F0">
        <w:rPr>
          <w:vertAlign w:val="superscript"/>
        </w:rPr>
        <w:t>nd</w:t>
      </w:r>
      <w:r w:rsidR="00C95BD8">
        <w:t xml:space="preserve"> March</w:t>
      </w:r>
      <w:r w:rsidR="00700EF5">
        <w:t xml:space="preserve"> </w:t>
      </w:r>
      <w:r w:rsidR="00700EF5" w:rsidRPr="00631CA0">
        <w:t>201</w:t>
      </w:r>
      <w:r w:rsidR="000151AE">
        <w:t>8</w:t>
      </w:r>
    </w:p>
    <w:p w14:paraId="23D4DC93" w14:textId="77777777" w:rsidR="00E90E49" w:rsidRPr="00CE0424" w:rsidRDefault="00E90E49" w:rsidP="00357380">
      <w:pPr>
        <w:pStyle w:val="3GPPHeader"/>
      </w:pPr>
    </w:p>
    <w:p w14:paraId="381ECB4B" w14:textId="3FBAF231" w:rsidR="00E90E49" w:rsidRPr="00C10B80" w:rsidRDefault="00E90E49" w:rsidP="00311702">
      <w:pPr>
        <w:pStyle w:val="3GPPHeader"/>
        <w:rPr>
          <w:sz w:val="22"/>
          <w:szCs w:val="22"/>
          <w:lang w:val="en-US"/>
        </w:rPr>
      </w:pPr>
      <w:r w:rsidRPr="00C10B80">
        <w:rPr>
          <w:sz w:val="22"/>
          <w:szCs w:val="22"/>
          <w:lang w:val="en-US"/>
        </w:rPr>
        <w:t>Agenda Item:</w:t>
      </w:r>
      <w:r w:rsidRPr="00C10B80">
        <w:rPr>
          <w:sz w:val="22"/>
          <w:szCs w:val="22"/>
          <w:lang w:val="en-US"/>
        </w:rPr>
        <w:tab/>
      </w:r>
      <w:r w:rsidR="00A43C84">
        <w:rPr>
          <w:rFonts w:cs="Arial"/>
          <w:color w:val="000000"/>
          <w:sz w:val="21"/>
          <w:szCs w:val="21"/>
        </w:rPr>
        <w:t>10.2.12</w:t>
      </w:r>
    </w:p>
    <w:p w14:paraId="1069D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A5B76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C95BD8">
        <w:rPr>
          <w:sz w:val="22"/>
          <w:szCs w:val="22"/>
        </w:rPr>
        <w:t>Notification control</w:t>
      </w:r>
    </w:p>
    <w:p w14:paraId="3B79888A" w14:textId="77777777" w:rsidR="00E90E49" w:rsidRDefault="00E90E49" w:rsidP="00D546FF">
      <w:pPr>
        <w:pStyle w:val="3GPPHeader"/>
        <w:rPr>
          <w:sz w:val="22"/>
          <w:szCs w:val="22"/>
        </w:rPr>
      </w:pPr>
      <w:r w:rsidRPr="00C95BD8">
        <w:rPr>
          <w:sz w:val="22"/>
          <w:szCs w:val="22"/>
        </w:rPr>
        <w:t>Document for:</w:t>
      </w:r>
      <w:r w:rsidRPr="00C95BD8">
        <w:rPr>
          <w:sz w:val="22"/>
          <w:szCs w:val="22"/>
        </w:rPr>
        <w:tab/>
        <w:t>Discussion, Decision</w:t>
      </w:r>
    </w:p>
    <w:p w14:paraId="01335617" w14:textId="62609A00" w:rsidR="00371503" w:rsidRDefault="00E90E49" w:rsidP="007D71BB">
      <w:pPr>
        <w:pStyle w:val="Heading1"/>
      </w:pPr>
      <w:r w:rsidRPr="00CE0424">
        <w:t>Introduction</w:t>
      </w:r>
      <w:bookmarkStart w:id="1" w:name="_Ref178064866"/>
    </w:p>
    <w:p w14:paraId="297A6CE6" w14:textId="77777777" w:rsidR="007D71BB" w:rsidRDefault="007D71BB" w:rsidP="007D71BB">
      <w:r>
        <w:t xml:space="preserve">Notification Control feature is part of NR QoS framework. TS 23.501 states following about the notification control:  </w:t>
      </w:r>
      <w:bookmarkStart w:id="2" w:name="_Toc498348933"/>
    </w:p>
    <w:bookmarkEnd w:id="2"/>
    <w:p w14:paraId="58B08467" w14:textId="77777777" w:rsidR="007D71BB" w:rsidRDefault="007D71BB" w:rsidP="007D71BB">
      <w:pPr>
        <w:pBdr>
          <w:top w:val="single" w:sz="4" w:space="1" w:color="auto"/>
          <w:left w:val="single" w:sz="4" w:space="4" w:color="auto"/>
          <w:bottom w:val="single" w:sz="4" w:space="1" w:color="auto"/>
          <w:right w:val="single" w:sz="4" w:space="4" w:color="auto"/>
        </w:pBdr>
        <w:ind w:left="142"/>
      </w:pPr>
      <w:r w:rsidRPr="00EE6D2D">
        <w:t>5.7.2.4</w:t>
      </w:r>
      <w:r w:rsidRPr="00EE6D2D">
        <w:tab/>
        <w:t>Notification control</w:t>
      </w:r>
      <w:r>
        <w:t xml:space="preserve"> </w:t>
      </w:r>
    </w:p>
    <w:p w14:paraId="06D44863" w14:textId="77777777" w:rsidR="007D71BB" w:rsidRDefault="007D71BB" w:rsidP="007D71BB">
      <w:pPr>
        <w:pBdr>
          <w:top w:val="single" w:sz="4" w:space="1" w:color="auto"/>
          <w:left w:val="single" w:sz="4" w:space="4" w:color="auto"/>
          <w:bottom w:val="single" w:sz="4" w:space="1" w:color="auto"/>
          <w:right w:val="single" w:sz="4" w:space="4" w:color="auto"/>
        </w:pBdr>
        <w:ind w:left="142"/>
      </w:pPr>
      <w:r w:rsidRPr="00B6630E">
        <w:t xml:space="preserve">The Notification control </w:t>
      </w:r>
      <w:r w:rsidRPr="0003499B">
        <w:rPr>
          <w:b/>
        </w:rPr>
        <w:t>indicates whether notifications are requested from the RAN</w:t>
      </w:r>
      <w:r w:rsidRPr="00B6630E">
        <w:t xml:space="preserve"> </w:t>
      </w:r>
      <w:r>
        <w:t>when</w:t>
      </w:r>
      <w:r w:rsidRPr="00B6630E">
        <w:t xml:space="preserve"> the </w:t>
      </w:r>
      <w:r w:rsidRPr="00AC46ED">
        <w:rPr>
          <w:rFonts w:hint="eastAsia"/>
        </w:rPr>
        <w:t>GFBR</w:t>
      </w:r>
      <w:r w:rsidRPr="00B6630E">
        <w:t xml:space="preserve"> can</w:t>
      </w:r>
      <w:r>
        <w:t xml:space="preserve"> </w:t>
      </w:r>
      <w:r w:rsidRPr="00B6630E">
        <w:t xml:space="preserve">no </w:t>
      </w:r>
      <w:r>
        <w:t xml:space="preserve">longer (or again) </w:t>
      </w:r>
      <w:r w:rsidRPr="00B6630E">
        <w:t xml:space="preserve">be fulfilled for a </w:t>
      </w:r>
      <w:r>
        <w:t>QoS Flow</w:t>
      </w:r>
      <w:r w:rsidRPr="00B6630E">
        <w:t xml:space="preserve"> during the lifetime of the </w:t>
      </w:r>
      <w:r>
        <w:t>QoS Flow</w:t>
      </w:r>
      <w:r w:rsidRPr="00B6630E">
        <w:t>. If</w:t>
      </w:r>
      <w:r w:rsidRPr="00AC46ED">
        <w:t xml:space="preserve">, for a given GBR </w:t>
      </w:r>
      <w:r>
        <w:t>QoS Flow</w:t>
      </w:r>
      <w:r w:rsidRPr="00AC46ED">
        <w:t>, notification control</w:t>
      </w:r>
      <w:r w:rsidRPr="00B6630E">
        <w:t xml:space="preserve"> is </w:t>
      </w:r>
      <w:r>
        <w:t>enabled</w:t>
      </w:r>
      <w:r w:rsidRPr="00B6630E">
        <w:t xml:space="preserve"> and </w:t>
      </w:r>
      <w:r w:rsidRPr="00CE44BB">
        <w:t xml:space="preserve">the </w:t>
      </w:r>
      <w:r w:rsidRPr="00286E0F">
        <w:t>NG-</w:t>
      </w:r>
      <w:r w:rsidRPr="00CE44BB">
        <w:t xml:space="preserve">RAN determines that </w:t>
      </w:r>
      <w:r w:rsidRPr="006E2412">
        <w:rPr>
          <w:rFonts w:hint="eastAsia"/>
        </w:rPr>
        <w:t>the GFBR</w:t>
      </w:r>
      <w:r w:rsidRPr="00B6630E">
        <w:t xml:space="preserve"> cannot be fulfilled, RAN </w:t>
      </w:r>
      <w:r>
        <w:t xml:space="preserve">shall </w:t>
      </w:r>
      <w:r w:rsidRPr="00B6630E">
        <w:t>send a notification towards SMF.</w:t>
      </w:r>
      <w:r w:rsidRPr="00AC46ED">
        <w:t xml:space="preserve"> </w:t>
      </w:r>
      <w:r w:rsidRPr="00CE44BB">
        <w:t>The RAN shall keep th</w:t>
      </w:r>
      <w:r w:rsidRPr="00AC46ED">
        <w:t xml:space="preserve">e </w:t>
      </w:r>
      <w:r>
        <w:rPr>
          <w:rFonts w:hint="eastAsia"/>
        </w:rPr>
        <w:t>QoS Flow</w:t>
      </w:r>
      <w:r w:rsidRPr="00AC46ED">
        <w:t xml:space="preserve">, </w:t>
      </w:r>
      <w:r>
        <w:t xml:space="preserve">and </w:t>
      </w:r>
      <w:r w:rsidRPr="00AC46ED">
        <w:t xml:space="preserve">should try to fulfil the </w:t>
      </w:r>
      <w:r>
        <w:rPr>
          <w:rFonts w:hint="eastAsia"/>
        </w:rPr>
        <w:t>GFBR</w:t>
      </w:r>
      <w:r w:rsidRPr="00AC46ED">
        <w:t xml:space="preserve">. </w:t>
      </w:r>
      <w:r w:rsidRPr="00CE44BB">
        <w:t xml:space="preserve">Upon receiving a notification from the RAN that the GFBR cannot be fulfilled, the 5GC may initiate N2 signalling to modify or remove the </w:t>
      </w:r>
      <w:r>
        <w:t>QoS Flow</w:t>
      </w:r>
      <w:r w:rsidRPr="00CE44BB">
        <w:t xml:space="preserve">. </w:t>
      </w:r>
      <w:r w:rsidRPr="00286E0F">
        <w:t>When applicable</w:t>
      </w:r>
      <w:r w:rsidRPr="00AC46ED">
        <w:t xml:space="preserve">, </w:t>
      </w:r>
      <w:r w:rsidRPr="00286E0F">
        <w:t>NG-</w:t>
      </w:r>
      <w:r w:rsidRPr="00AC46ED">
        <w:t xml:space="preserve">RAN sends a new notification, informing SMF that the </w:t>
      </w:r>
      <w:r w:rsidRPr="00AC46ED">
        <w:rPr>
          <w:rFonts w:hint="eastAsia"/>
        </w:rPr>
        <w:t>GFBR</w:t>
      </w:r>
      <w:r w:rsidRPr="00AC46ED">
        <w:t xml:space="preserve"> can be ful</w:t>
      </w:r>
      <w:r>
        <w:t xml:space="preserve">filled again. </w:t>
      </w:r>
      <w:r w:rsidRPr="00CE44BB">
        <w:t xml:space="preserve">After a configured time, the </w:t>
      </w:r>
      <w:r w:rsidRPr="00286E0F">
        <w:t>NG-</w:t>
      </w:r>
      <w:r w:rsidRPr="00CE44BB">
        <w:t>RAN may send a subsequent notification that the GFBR cannot be fulfilled.</w:t>
      </w:r>
    </w:p>
    <w:p w14:paraId="18E9BB69" w14:textId="77777777" w:rsidR="007D71BB" w:rsidRDefault="007D71BB" w:rsidP="007D71BB">
      <w:pPr>
        <w:pStyle w:val="Heading1"/>
      </w:pPr>
      <w:r w:rsidRPr="00CE0424">
        <w:t>Discussion</w:t>
      </w:r>
      <w:bookmarkEnd w:id="1"/>
    </w:p>
    <w:p w14:paraId="59C75C85" w14:textId="4BF84D5D" w:rsidR="00A12404" w:rsidRDefault="007D71BB" w:rsidP="007D71BB">
      <w:r>
        <w:t>Notification control may be configured for GBR Flows. When configured, RAN has possibility to send indication to the CN if requirements set for the QoS Flow cannot be fulfilled. The decision is made based on parameters associated with the QoS Flows and it is up to the implementation decide exactly when the notification is sen</w:t>
      </w:r>
      <w:r w:rsidR="00D91989">
        <w:t>t</w:t>
      </w:r>
      <w:r>
        <w:t xml:space="preserve">. </w:t>
      </w:r>
    </w:p>
    <w:p w14:paraId="50354F0E" w14:textId="77777777" w:rsidR="00A12404" w:rsidRDefault="007D71BB" w:rsidP="007D71BB">
      <w:r>
        <w:t>In the RAN</w:t>
      </w:r>
      <w:r w:rsidR="00A12404">
        <w:t>#100</w:t>
      </w:r>
      <w:r>
        <w:t xml:space="preserve"> meeting, some companies proposed that there is need to associate additional information to the notification control message. For example, information about the scheduler state. This, however, is problematic approach as the scheduling information is dynamic may already be outdated when notification reaches the destination. Therefore, the notification control should be kept simple from RAN2 perspective. </w:t>
      </w:r>
    </w:p>
    <w:p w14:paraId="2CF15427" w14:textId="15EB2419" w:rsidR="0058203A" w:rsidRDefault="0058203A" w:rsidP="007D71BB"/>
    <w:p w14:paraId="78D48C06" w14:textId="5B80C786" w:rsidR="0058203A" w:rsidRDefault="007F1814" w:rsidP="007F1814">
      <w:pPr>
        <w:pStyle w:val="Caption"/>
      </w:pPr>
      <w:r>
        <w:t xml:space="preserve">Table </w:t>
      </w:r>
      <w:r>
        <w:fldChar w:fldCharType="begin"/>
      </w:r>
      <w:r>
        <w:instrText xml:space="preserve"> SEQ Table \* ARABIC </w:instrText>
      </w:r>
      <w:r>
        <w:fldChar w:fldCharType="separate"/>
      </w:r>
      <w:r>
        <w:rPr>
          <w:noProof/>
        </w:rPr>
        <w:t>1</w:t>
      </w:r>
      <w:r>
        <w:fldChar w:fldCharType="end"/>
      </w:r>
      <w:r>
        <w:tab/>
      </w:r>
      <w:r w:rsidR="0058203A">
        <w:t xml:space="preserve">3GPP TS </w:t>
      </w:r>
      <w:r w:rsidR="00BB3E5A">
        <w:t xml:space="preserve">23.502, 4.3 </w:t>
      </w:r>
      <w:r w:rsidR="00BB3E5A" w:rsidRPr="00050CA8">
        <w:t>Session Management procedures</w:t>
      </w:r>
      <w:r w:rsidR="00BB3E5A" w:rsidDel="00BB3E5A">
        <w:t xml:space="preserve"> </w:t>
      </w:r>
    </w:p>
    <w:p w14:paraId="52F9A623" w14:textId="78F3C745" w:rsidR="00BB3E5A" w:rsidRPr="000D7B3A" w:rsidRDefault="00BB3E5A" w:rsidP="00BB3E5A">
      <w:pPr>
        <w:pStyle w:val="B1"/>
        <w:pBdr>
          <w:top w:val="single" w:sz="4" w:space="1" w:color="auto"/>
          <w:left w:val="single" w:sz="4" w:space="4" w:color="auto"/>
          <w:bottom w:val="single" w:sz="4" w:space="1" w:color="auto"/>
          <w:right w:val="single" w:sz="4" w:space="4" w:color="auto"/>
        </w:pBdr>
        <w:rPr>
          <w:b/>
        </w:rPr>
      </w:pPr>
      <w:r w:rsidRPr="000D7B3A">
        <w:rPr>
          <w:b/>
        </w:rPr>
        <w:t>4.3.2 PDU Session Establishment</w:t>
      </w:r>
    </w:p>
    <w:p w14:paraId="3285A51D" w14:textId="747D31EE" w:rsidR="00BB3E5A" w:rsidRDefault="00BB3E5A" w:rsidP="00BB3E5A">
      <w:pPr>
        <w:pStyle w:val="B1"/>
        <w:pBdr>
          <w:top w:val="single" w:sz="4" w:space="1" w:color="auto"/>
          <w:left w:val="single" w:sz="4" w:space="4" w:color="auto"/>
          <w:bottom w:val="single" w:sz="4" w:space="1" w:color="auto"/>
          <w:right w:val="single" w:sz="4" w:space="4" w:color="auto"/>
        </w:pBdr>
      </w:pPr>
      <w:r w:rsidRPr="00050CA8">
        <w:t>14.</w:t>
      </w:r>
      <w:r w:rsidRPr="00050CA8">
        <w:tab/>
        <w:t xml:space="preserve">(R)AN to AMF: N2 PDU Session Response (PDU Session ID, Cause, N2 SM information (PDU Session ID, AN Tunnel Info, </w:t>
      </w:r>
      <w:r w:rsidRPr="000D7B3A">
        <w:rPr>
          <w:highlight w:val="yellow"/>
        </w:rPr>
        <w:t>List of accepted/rejected QFI(s)</w:t>
      </w:r>
      <w:r w:rsidRPr="00050CA8">
        <w:t>)).</w:t>
      </w:r>
    </w:p>
    <w:p w14:paraId="01F175AF" w14:textId="44E23630" w:rsidR="00BB3E5A" w:rsidRPr="000D7B3A" w:rsidRDefault="00BB3E5A" w:rsidP="00BB3E5A">
      <w:pPr>
        <w:pStyle w:val="B1"/>
        <w:pBdr>
          <w:top w:val="single" w:sz="4" w:space="1" w:color="auto"/>
          <w:left w:val="single" w:sz="4" w:space="4" w:color="auto"/>
          <w:bottom w:val="single" w:sz="4" w:space="1" w:color="auto"/>
          <w:right w:val="single" w:sz="4" w:space="4" w:color="auto"/>
        </w:pBdr>
        <w:rPr>
          <w:b/>
        </w:rPr>
      </w:pPr>
      <w:r w:rsidRPr="000D7B3A">
        <w:rPr>
          <w:b/>
        </w:rPr>
        <w:t>4.3.3</w:t>
      </w:r>
      <w:r w:rsidRPr="000D7B3A">
        <w:rPr>
          <w:b/>
        </w:rPr>
        <w:tab/>
        <w:t>PDU Session Modification</w:t>
      </w:r>
    </w:p>
    <w:p w14:paraId="354597E5" w14:textId="48C8A6E3" w:rsidR="00BB3E5A" w:rsidRPr="00050CA8" w:rsidRDefault="00BB3E5A" w:rsidP="00BB3E5A">
      <w:pPr>
        <w:pStyle w:val="B1"/>
        <w:pBdr>
          <w:top w:val="single" w:sz="4" w:space="1" w:color="auto"/>
          <w:left w:val="single" w:sz="4" w:space="4" w:color="auto"/>
          <w:bottom w:val="single" w:sz="4" w:space="1" w:color="auto"/>
          <w:right w:val="single" w:sz="4" w:space="4" w:color="auto"/>
        </w:pBdr>
      </w:pPr>
      <w:r w:rsidRPr="00050CA8">
        <w:t>6.</w:t>
      </w:r>
      <w:r w:rsidRPr="00050CA8">
        <w:tab/>
        <w:t>The (R)AN may acknowledge N2 PDU Session Request by sending a N2 PDU Session Ack (N2 SM information (</w:t>
      </w:r>
      <w:r w:rsidRPr="000D7B3A">
        <w:rPr>
          <w:highlight w:val="yellow"/>
        </w:rPr>
        <w:t>List of accepted/rejected QFI(s),</w:t>
      </w:r>
      <w:r w:rsidRPr="00050CA8">
        <w:t xml:space="preserve"> AN Tunnel Info, PDU Session ID), </w:t>
      </w:r>
      <w:r w:rsidRPr="00050CA8">
        <w:rPr>
          <w:lang w:eastAsia="zh-CN"/>
        </w:rPr>
        <w:t>User location Information</w:t>
      </w:r>
      <w:r w:rsidRPr="00050CA8">
        <w:t>)</w:t>
      </w:r>
    </w:p>
    <w:p w14:paraId="69F2F559" w14:textId="77777777" w:rsidR="0058203A" w:rsidRDefault="0058203A" w:rsidP="00BB3E5A"/>
    <w:p w14:paraId="2826A5C7" w14:textId="431E813D" w:rsidR="007D71BB" w:rsidRDefault="007D71BB" w:rsidP="007D71BB">
      <w:r>
        <w:lastRenderedPageBreak/>
        <w:t xml:space="preserve">The Notification Control only applies in the case when QoS Flow has already been established and RAN has not made decision on removing a Flow. </w:t>
      </w:r>
      <w:r w:rsidR="009101A6">
        <w:t>It is clear from the</w:t>
      </w:r>
      <w:r w:rsidR="003C5CC3">
        <w:t xml:space="preserve"> Session management procedures above that</w:t>
      </w:r>
      <w:r w:rsidR="009101A6">
        <w:t xml:space="preserve"> RAN has option to reject QoS Flow on QoS Flow establishment procedure. </w:t>
      </w:r>
      <w:r w:rsidR="000D7B3A">
        <w:t>Therefore</w:t>
      </w:r>
      <w:r>
        <w:t xml:space="preserve">, </w:t>
      </w:r>
      <w:r w:rsidR="00EE0C2D">
        <w:t xml:space="preserve">RAN has possibility to reject the QoS Flow if it cannot fulfil the requirements set by the QoS parameters. </w:t>
      </w:r>
      <w:r>
        <w:t xml:space="preserve"> Additionally, if RAN decides to release QoS Flow, there is no need to send notification, as the QoS Flow release message is sent to the CN. It hardly makes sense to send notification of congestion if QoS Flow is removed. Therefore, Notification Control </w:t>
      </w:r>
      <w:r w:rsidR="0007739B">
        <w:t xml:space="preserve">should </w:t>
      </w:r>
      <w:r>
        <w:t>only appl</w:t>
      </w:r>
      <w:r w:rsidR="0007739B">
        <w:t>y</w:t>
      </w:r>
      <w:r>
        <w:t xml:space="preserve"> between QoS Flow establishment and QoS Flow release. </w:t>
      </w:r>
    </w:p>
    <w:p w14:paraId="489CDBA2" w14:textId="3AAE917D" w:rsidR="003C5CC3" w:rsidRDefault="003C5CC3" w:rsidP="00BB6308">
      <w:pPr>
        <w:pStyle w:val="Observation"/>
      </w:pPr>
      <w:bookmarkStart w:id="3" w:name="_Toc506456343"/>
      <w:r>
        <w:t>It is clear that RAN has option to reject QoS Flows that cannot be fulfilled. Therefore, Notification Control only applies to the case where QoS Flows have already been accepted.</w:t>
      </w:r>
      <w:bookmarkEnd w:id="3"/>
      <w:r>
        <w:t xml:space="preserve"> </w:t>
      </w:r>
    </w:p>
    <w:p w14:paraId="74F2F92C" w14:textId="4CD81B2D" w:rsidR="001D41B8" w:rsidRDefault="00A12404" w:rsidP="00560490">
      <w:pPr>
        <w:pStyle w:val="Observation"/>
      </w:pPr>
      <w:bookmarkStart w:id="4" w:name="_Toc503452679"/>
      <w:bookmarkStart w:id="5" w:name="_Toc503452882"/>
      <w:bookmarkStart w:id="6" w:name="_Toc506120969"/>
      <w:bookmarkStart w:id="7" w:name="_Toc506121067"/>
      <w:bookmarkStart w:id="8" w:name="_Toc506456344"/>
      <w:r>
        <w:t>Notification control only applies during the lifetime of QoS Flow, i.e. after RAN has accepted the QoS Flow and before RAN has decided to release QoS Flow.</w:t>
      </w:r>
      <w:bookmarkEnd w:id="4"/>
      <w:bookmarkEnd w:id="5"/>
      <w:bookmarkEnd w:id="6"/>
      <w:bookmarkEnd w:id="7"/>
      <w:bookmarkEnd w:id="8"/>
      <w:r>
        <w:t xml:space="preserve">  </w:t>
      </w:r>
    </w:p>
    <w:p w14:paraId="284E00E6" w14:textId="77777777" w:rsidR="001D41B8" w:rsidRDefault="001D41B8" w:rsidP="001D41B8">
      <w:r>
        <w:t xml:space="preserve">RAN2#AH January sent LS to SA2 with the following content. </w:t>
      </w:r>
    </w:p>
    <w:p w14:paraId="53855165" w14:textId="77777777" w:rsidR="001D41B8" w:rsidRPr="00BF160C" w:rsidRDefault="001D41B8" w:rsidP="00BF160C">
      <w:pPr>
        <w:pBdr>
          <w:top w:val="single" w:sz="4" w:space="1" w:color="auto"/>
          <w:left w:val="single" w:sz="4" w:space="4" w:color="auto"/>
          <w:bottom w:val="single" w:sz="4" w:space="1" w:color="auto"/>
          <w:right w:val="single" w:sz="4" w:space="4" w:color="auto"/>
        </w:pBdr>
        <w:ind w:left="567"/>
        <w:rPr>
          <w:rFonts w:cs="Arial"/>
          <w:lang w:eastAsia="en-US"/>
        </w:rPr>
      </w:pPr>
      <w:r>
        <w:rPr>
          <w:rFonts w:cs="Arial"/>
        </w:rPr>
        <w:t>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14:paraId="3C90615D" w14:textId="77777777" w:rsidR="00A12404" w:rsidRDefault="006C7E9B" w:rsidP="00A12404">
      <w:pPr>
        <w:rPr>
          <w:rFonts w:cs="Arial"/>
          <w:lang w:val="en-US"/>
        </w:rPr>
      </w:pPr>
      <w:r>
        <w:rPr>
          <w:rFonts w:cs="Arial"/>
          <w:lang w:val="en-US"/>
        </w:rPr>
        <w:t xml:space="preserve">While RAN2 is waiting for the SA2 input, the RAN view could be clarified. </w:t>
      </w:r>
      <w:r w:rsidR="007F2FDB">
        <w:rPr>
          <w:rFonts w:cs="Arial"/>
          <w:lang w:val="en-US"/>
        </w:rPr>
        <w:t>In general,</w:t>
      </w:r>
      <w:r w:rsidR="00A12404">
        <w:rPr>
          <w:rFonts w:cs="Arial"/>
          <w:lang w:val="en-US"/>
        </w:rPr>
        <w:t xml:space="preserve"> </w:t>
      </w:r>
      <w:r w:rsidR="007F2FDB">
        <w:rPr>
          <w:rFonts w:cs="Arial"/>
          <w:lang w:val="en-US"/>
        </w:rPr>
        <w:t>f</w:t>
      </w:r>
      <w:r w:rsidR="00A12404" w:rsidRPr="00371503">
        <w:rPr>
          <w:rFonts w:cs="Arial"/>
          <w:lang w:val="en-US"/>
        </w:rPr>
        <w:t xml:space="preserve">ailure to fulfil the GFBR of a GBR QoS Flow with </w:t>
      </w:r>
      <w:r w:rsidR="00A12404">
        <w:rPr>
          <w:rFonts w:cs="Arial"/>
          <w:lang w:val="en-US"/>
        </w:rPr>
        <w:t xml:space="preserve">Notification Control </w:t>
      </w:r>
      <w:r w:rsidR="00A12404" w:rsidRPr="00371503">
        <w:rPr>
          <w:rFonts w:cs="Arial"/>
          <w:lang w:val="en-US"/>
        </w:rPr>
        <w:t xml:space="preserve">enabled is not a sufficient condition to trigger release of the RAN resources onto which that GBR QoS Flow is mapped. No other RAN specific aspect/condition is considered by the </w:t>
      </w:r>
      <w:r w:rsidR="00A12404">
        <w:rPr>
          <w:rFonts w:cs="Arial"/>
          <w:lang w:val="en-US"/>
        </w:rPr>
        <w:t xml:space="preserve">Notification Control </w:t>
      </w:r>
      <w:r w:rsidR="00A12404" w:rsidRPr="00371503">
        <w:rPr>
          <w:rFonts w:cs="Arial"/>
          <w:lang w:val="en-US"/>
        </w:rPr>
        <w:t xml:space="preserve">functionality. In other words, any other RAN aspect (e.g. RLF, internal resource failure </w:t>
      </w:r>
      <w:r w:rsidR="007F2FDB" w:rsidRPr="00371503">
        <w:rPr>
          <w:rFonts w:cs="Arial"/>
          <w:lang w:val="en-US"/>
        </w:rPr>
        <w:t>etc.</w:t>
      </w:r>
      <w:r w:rsidR="00A12404" w:rsidRPr="00371503">
        <w:rPr>
          <w:rFonts w:cs="Arial"/>
          <w:lang w:val="en-US"/>
        </w:rPr>
        <w:t xml:space="preserve">) may be used by RAN as a trigger to release the RAN resources onto which a GBR QoS Flow is mapped, regardless of whether the GFBR can be fulfilled or not and regardless whether </w:t>
      </w:r>
      <w:r w:rsidR="007F2FDB">
        <w:rPr>
          <w:rFonts w:cs="Arial"/>
          <w:lang w:val="en-US"/>
        </w:rPr>
        <w:t>Notification control</w:t>
      </w:r>
      <w:r w:rsidR="00A12404" w:rsidRPr="00371503">
        <w:rPr>
          <w:rFonts w:cs="Arial"/>
          <w:lang w:val="en-US"/>
        </w:rPr>
        <w:t xml:space="preserve"> is enabled or not. </w:t>
      </w:r>
    </w:p>
    <w:p w14:paraId="09F4062E" w14:textId="77777777" w:rsidR="007F2FDB" w:rsidRDefault="007F2FDB" w:rsidP="00BE65B6">
      <w:pPr>
        <w:pStyle w:val="Observation"/>
      </w:pPr>
      <w:bookmarkStart w:id="9" w:name="_Toc506456345"/>
      <w:r>
        <w:t>Regardless of Notification Control, RAN is responsible of RAN resources.</w:t>
      </w:r>
      <w:bookmarkEnd w:id="9"/>
      <w:r>
        <w:t xml:space="preserve"> </w:t>
      </w:r>
    </w:p>
    <w:p w14:paraId="719DBA92" w14:textId="66C81DFC" w:rsidR="007D71BB" w:rsidRDefault="007D71BB" w:rsidP="007D71BB">
      <w:r>
        <w:t xml:space="preserve">Notification Control </w:t>
      </w:r>
      <w:r w:rsidR="00537CDD">
        <w:t xml:space="preserve">is expected to </w:t>
      </w:r>
      <w:r>
        <w:t>include</w:t>
      </w:r>
      <w:r w:rsidR="00537CDD">
        <w:t xml:space="preserve"> </w:t>
      </w:r>
      <w:r>
        <w:t xml:space="preserve">behaviour that 5GC executes upon receiving the notification from RAN. The discussion of Notification Control should be left for RAN3 and SA2.  </w:t>
      </w:r>
    </w:p>
    <w:p w14:paraId="4B0B6528" w14:textId="77777777" w:rsidR="007D71BB" w:rsidRDefault="007D71BB" w:rsidP="007D71BB">
      <w:pPr>
        <w:pStyle w:val="Observation"/>
      </w:pPr>
      <w:bookmarkStart w:id="10" w:name="_Toc503452680"/>
      <w:bookmarkStart w:id="11" w:name="_Toc503452883"/>
      <w:bookmarkStart w:id="12" w:name="_Toc506120970"/>
      <w:bookmarkStart w:id="13" w:name="_Toc506121068"/>
      <w:bookmarkStart w:id="14" w:name="_Toc506456346"/>
      <w:r>
        <w:t>Notification Control has minimal impact on RAN2 specification</w:t>
      </w:r>
      <w:bookmarkEnd w:id="10"/>
      <w:bookmarkEnd w:id="11"/>
      <w:bookmarkEnd w:id="12"/>
      <w:bookmarkEnd w:id="13"/>
      <w:bookmarkEnd w:id="14"/>
      <w:r>
        <w:t xml:space="preserve"> </w:t>
      </w:r>
    </w:p>
    <w:p w14:paraId="0F347B96" w14:textId="77777777" w:rsidR="007D71BB" w:rsidRDefault="007D71BB" w:rsidP="007D71BB">
      <w:pPr>
        <w:pStyle w:val="Proposal"/>
      </w:pPr>
      <w:bookmarkStart w:id="15" w:name="_Toc503452676"/>
      <w:bookmarkStart w:id="16" w:name="_Toc503452881"/>
      <w:bookmarkStart w:id="17" w:name="_Toc506120971"/>
      <w:bookmarkStart w:id="18" w:name="_Toc506121069"/>
      <w:bookmarkStart w:id="19" w:name="_Toc506456347"/>
      <w:r>
        <w:t>Discussion of Notification Control is left for RAN3 and SA2.</w:t>
      </w:r>
      <w:bookmarkEnd w:id="15"/>
      <w:bookmarkEnd w:id="16"/>
      <w:bookmarkEnd w:id="17"/>
      <w:bookmarkEnd w:id="18"/>
      <w:bookmarkEnd w:id="19"/>
      <w:r>
        <w:t xml:space="preserve"> </w:t>
      </w:r>
    </w:p>
    <w:p w14:paraId="6B75EAFA" w14:textId="77777777" w:rsidR="003742AC" w:rsidRPr="00CE0424" w:rsidRDefault="003742AC" w:rsidP="006E062C"/>
    <w:p w14:paraId="25C46F95" w14:textId="77777777" w:rsidR="00C01F33" w:rsidRPr="00CE0424" w:rsidRDefault="00C01F33" w:rsidP="00CE0424">
      <w:pPr>
        <w:pStyle w:val="Heading1"/>
      </w:pPr>
      <w:r w:rsidRPr="00CE0424">
        <w:t>Conclusion</w:t>
      </w:r>
    </w:p>
    <w:p w14:paraId="06B13B09" w14:textId="13FA4365" w:rsidR="00E77D2E" w:rsidRPr="00B210F2" w:rsidRDefault="008E065E" w:rsidP="00E77D2E">
      <w:pPr>
        <w:pStyle w:val="TOC1"/>
        <w:rPr>
          <w:b w:val="0"/>
        </w:rPr>
      </w:pPr>
      <w:r w:rsidRPr="00B210F2">
        <w:rPr>
          <w:b w:val="0"/>
        </w:rPr>
        <w:t xml:space="preserve">In section </w:t>
      </w:r>
      <w:r w:rsidRPr="00B210F2">
        <w:rPr>
          <w:b w:val="0"/>
          <w:highlight w:val="cyan"/>
        </w:rPr>
        <w:fldChar w:fldCharType="begin"/>
      </w:r>
      <w:r w:rsidRPr="00B210F2">
        <w:rPr>
          <w:b w:val="0"/>
        </w:rPr>
        <w:instrText xml:space="preserve"> REF _Ref178064866 \r \h </w:instrText>
      </w:r>
      <w:r w:rsidR="00E77D2E">
        <w:rPr>
          <w:b w:val="0"/>
          <w:highlight w:val="cyan"/>
        </w:rPr>
        <w:instrText xml:space="preserve"> \* MERGEFORMAT </w:instrText>
      </w:r>
      <w:r w:rsidRPr="00B210F2">
        <w:rPr>
          <w:b w:val="0"/>
          <w:highlight w:val="cyan"/>
        </w:rPr>
      </w:r>
      <w:r w:rsidRPr="00B210F2">
        <w:rPr>
          <w:b w:val="0"/>
          <w:highlight w:val="cyan"/>
        </w:rPr>
        <w:fldChar w:fldCharType="separate"/>
      </w:r>
      <w:r w:rsidR="009D13DE" w:rsidRPr="00B210F2">
        <w:rPr>
          <w:b w:val="0"/>
        </w:rPr>
        <w:t>2</w:t>
      </w:r>
      <w:r w:rsidRPr="00B210F2">
        <w:rPr>
          <w:b w:val="0"/>
          <w:highlight w:val="cyan"/>
        </w:rPr>
        <w:fldChar w:fldCharType="end"/>
      </w:r>
      <w:r w:rsidRPr="00B210F2">
        <w:rPr>
          <w:b w:val="0"/>
        </w:rPr>
        <w:t xml:space="preserve"> we made the following observations:</w:t>
      </w:r>
    </w:p>
    <w:p w14:paraId="1583A204" w14:textId="5F04FEB3" w:rsidR="00E77D2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E77D2E">
        <w:t>Observation 1</w:t>
      </w:r>
      <w:r w:rsidR="00E77D2E">
        <w:rPr>
          <w:rFonts w:asciiTheme="minorHAnsi" w:eastAsiaTheme="minorEastAsia" w:hAnsiTheme="minorHAnsi" w:cstheme="minorBidi"/>
          <w:b w:val="0"/>
          <w:sz w:val="22"/>
          <w:lang w:eastAsia="en-US"/>
        </w:rPr>
        <w:tab/>
      </w:r>
      <w:r w:rsidR="00E77D2E">
        <w:t>It is clear that RAN has option to reject QoS Flows that cannot be fulfilled. Therefore, Notification Control only applies to the case where QoS Flows have already been accepted.</w:t>
      </w:r>
    </w:p>
    <w:p w14:paraId="75EB4340" w14:textId="77777777" w:rsidR="00E77D2E" w:rsidRDefault="00E77D2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Notification control only applies during the lifetime of QoS Flow, i.e. after RAN has accepted the QoS Flow and before RAN has decided to release QoS Flow.</w:t>
      </w:r>
    </w:p>
    <w:p w14:paraId="5D7FD93F" w14:textId="77777777" w:rsidR="00E77D2E" w:rsidRDefault="00E77D2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Regardless of Notification Control, RAN is responsible of RAN resources.</w:t>
      </w:r>
    </w:p>
    <w:p w14:paraId="0CBE2E6A" w14:textId="77777777" w:rsidR="00E77D2E" w:rsidRDefault="00E77D2E">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Notification Control has minimal impact on RAN2 specification</w:t>
      </w:r>
    </w:p>
    <w:p w14:paraId="764ED64D" w14:textId="77777777" w:rsidR="008E065E" w:rsidRDefault="008E065E" w:rsidP="008E065E">
      <w:pPr>
        <w:pStyle w:val="BodyText"/>
        <w:rPr>
          <w:b/>
          <w:bCs/>
        </w:rPr>
      </w:pPr>
      <w:r>
        <w:rPr>
          <w:b/>
          <w:bCs/>
        </w:rPr>
        <w:fldChar w:fldCharType="end"/>
      </w:r>
    </w:p>
    <w:p w14:paraId="4B7CAA66" w14:textId="49624424" w:rsidR="00E77D2E" w:rsidRPr="00B210F2" w:rsidRDefault="008E065E">
      <w:pPr>
        <w:pStyle w:val="TOC1"/>
        <w:rPr>
          <w:b w:val="0"/>
        </w:rPr>
      </w:pPr>
      <w:r w:rsidRPr="00B210F2">
        <w:rPr>
          <w:b w:val="0"/>
        </w:rPr>
        <w:t xml:space="preserve">Based on the discussion in section </w:t>
      </w:r>
      <w:r w:rsidRPr="00B210F2">
        <w:rPr>
          <w:b w:val="0"/>
          <w:highlight w:val="cyan"/>
        </w:rPr>
        <w:fldChar w:fldCharType="begin"/>
      </w:r>
      <w:r w:rsidRPr="00B210F2">
        <w:rPr>
          <w:b w:val="0"/>
        </w:rPr>
        <w:instrText xml:space="preserve"> REF _Ref178064866 \r \h </w:instrText>
      </w:r>
      <w:r w:rsidR="00E77D2E">
        <w:rPr>
          <w:b w:val="0"/>
          <w:highlight w:val="cyan"/>
        </w:rPr>
        <w:instrText xml:space="preserve"> \* MERGEFORMAT </w:instrText>
      </w:r>
      <w:r w:rsidRPr="00B210F2">
        <w:rPr>
          <w:b w:val="0"/>
          <w:highlight w:val="cyan"/>
        </w:rPr>
      </w:r>
      <w:r w:rsidRPr="00B210F2">
        <w:rPr>
          <w:b w:val="0"/>
          <w:highlight w:val="cyan"/>
        </w:rPr>
        <w:fldChar w:fldCharType="separate"/>
      </w:r>
      <w:r w:rsidR="009D13DE" w:rsidRPr="00B210F2">
        <w:rPr>
          <w:b w:val="0"/>
        </w:rPr>
        <w:t>2</w:t>
      </w:r>
      <w:r w:rsidRPr="00B210F2">
        <w:rPr>
          <w:b w:val="0"/>
          <w:highlight w:val="cyan"/>
        </w:rPr>
        <w:fldChar w:fldCharType="end"/>
      </w:r>
      <w:r w:rsidRPr="00B210F2">
        <w:rPr>
          <w:b w:val="0"/>
        </w:rPr>
        <w:t xml:space="preserve"> we propose the following:</w:t>
      </w:r>
    </w:p>
    <w:p w14:paraId="7CB38523" w14:textId="3772D5B1" w:rsidR="00E77D2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77D2E">
        <w:t>Proposal 1</w:t>
      </w:r>
      <w:r w:rsidR="00E77D2E">
        <w:rPr>
          <w:rFonts w:asciiTheme="minorHAnsi" w:eastAsiaTheme="minorEastAsia" w:hAnsiTheme="minorHAnsi" w:cstheme="minorBidi"/>
          <w:b w:val="0"/>
          <w:sz w:val="22"/>
          <w:lang w:eastAsia="en-US"/>
        </w:rPr>
        <w:tab/>
      </w:r>
      <w:r w:rsidR="00E77D2E">
        <w:t>Discussion of Notification Control is left for RAN3 and SA2.</w:t>
      </w:r>
    </w:p>
    <w:p w14:paraId="16C7789D" w14:textId="77777777" w:rsidR="00C01F33" w:rsidRPr="007D71BB" w:rsidRDefault="008E065E" w:rsidP="006E062C">
      <w:pPr>
        <w:rPr>
          <w:b/>
          <w:bCs/>
        </w:rPr>
      </w:pPr>
      <w:r>
        <w:rPr>
          <w:b/>
          <w:bCs/>
        </w:rPr>
        <w:fldChar w:fldCharType="end"/>
      </w:r>
    </w:p>
    <w:p w14:paraId="7D6AED7B" w14:textId="77777777" w:rsidR="00F507D1" w:rsidRPr="00CE0424" w:rsidRDefault="00F507D1" w:rsidP="00CE0424">
      <w:pPr>
        <w:pStyle w:val="Heading1"/>
      </w:pPr>
      <w:bookmarkStart w:id="20" w:name="_In-sequence_SDU_delivery"/>
      <w:bookmarkEnd w:id="20"/>
      <w:r w:rsidRPr="00CE0424">
        <w:lastRenderedPageBreak/>
        <w:t>References</w:t>
      </w:r>
    </w:p>
    <w:p w14:paraId="0A258EB5" w14:textId="047DC5EE" w:rsidR="007D71BB" w:rsidRDefault="007D71BB" w:rsidP="007D71BB">
      <w:pPr>
        <w:pStyle w:val="Reference"/>
      </w:pPr>
      <w:bookmarkStart w:id="21" w:name="_Ref174151459"/>
      <w:bookmarkStart w:id="22" w:name="_Ref189809556"/>
      <w:r w:rsidRPr="006607BB">
        <w:t>3GPP TS 23.501 V1.5.0 (2017-11). System Architecture for the 5G System</w:t>
      </w:r>
      <w:bookmarkEnd w:id="21"/>
      <w:bookmarkEnd w:id="22"/>
    </w:p>
    <w:p w14:paraId="681EFE4B" w14:textId="38A7956D" w:rsidR="00560490" w:rsidRPr="00CE0424" w:rsidRDefault="00560490" w:rsidP="00560490">
      <w:pPr>
        <w:pStyle w:val="Reference"/>
      </w:pPr>
      <w:r w:rsidRPr="00560490">
        <w:rPr>
          <w:rFonts w:cs="Arial"/>
        </w:rPr>
        <w:t>R2-1801619</w:t>
      </w:r>
      <w:r>
        <w:rPr>
          <w:rFonts w:cs="Arial"/>
        </w:rPr>
        <w:t>. L</w:t>
      </w:r>
      <w:r>
        <w:rPr>
          <w:rFonts w:cs="Arial"/>
          <w:bCs/>
        </w:rPr>
        <w:t xml:space="preserve">S on QoS. RAN2. </w:t>
      </w:r>
      <w:r w:rsidRPr="00560490">
        <w:rPr>
          <w:rFonts w:cs="Arial"/>
          <w:bCs/>
        </w:rPr>
        <w:t>Vancouver, Canada, 22 – 26 January 2018</w:t>
      </w:r>
      <w:r>
        <w:rPr>
          <w:rFonts w:cs="Arial"/>
          <w:bCs/>
        </w:rPr>
        <w:t xml:space="preserve">. </w:t>
      </w:r>
    </w:p>
    <w:p w14:paraId="5DE0758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1E9FF" w14:textId="77777777" w:rsidR="00CF2AA6" w:rsidRDefault="00CF2AA6">
      <w:r>
        <w:separator/>
      </w:r>
    </w:p>
  </w:endnote>
  <w:endnote w:type="continuationSeparator" w:id="0">
    <w:p w14:paraId="143FECA4" w14:textId="77777777" w:rsidR="00CF2AA6" w:rsidRDefault="00CF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5BE77" w14:textId="71F4286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7CD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7CD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B07C" w14:textId="77777777" w:rsidR="00CF2AA6" w:rsidRDefault="00CF2AA6">
      <w:r>
        <w:separator/>
      </w:r>
    </w:p>
  </w:footnote>
  <w:footnote w:type="continuationSeparator" w:id="0">
    <w:p w14:paraId="6C509481" w14:textId="77777777" w:rsidR="00CF2AA6" w:rsidRDefault="00CF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061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30E2"/>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39B"/>
    <w:rsid w:val="00077E5F"/>
    <w:rsid w:val="0008036A"/>
    <w:rsid w:val="00081AE6"/>
    <w:rsid w:val="0008276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B3A"/>
    <w:rsid w:val="000E0527"/>
    <w:rsid w:val="000E1E92"/>
    <w:rsid w:val="000E205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36E"/>
    <w:rsid w:val="00126B4A"/>
    <w:rsid w:val="00132FD0"/>
    <w:rsid w:val="001344C0"/>
    <w:rsid w:val="001346FA"/>
    <w:rsid w:val="00135252"/>
    <w:rsid w:val="00137AB5"/>
    <w:rsid w:val="00137F0B"/>
    <w:rsid w:val="00151E23"/>
    <w:rsid w:val="001526E0"/>
    <w:rsid w:val="001551B5"/>
    <w:rsid w:val="001659C1"/>
    <w:rsid w:val="00165F14"/>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41B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161"/>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10B7"/>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1503"/>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5CC3"/>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0C4"/>
    <w:rsid w:val="004B7C0C"/>
    <w:rsid w:val="004B7CF7"/>
    <w:rsid w:val="004C2DB9"/>
    <w:rsid w:val="004C3898"/>
    <w:rsid w:val="004D36B1"/>
    <w:rsid w:val="004D7EBD"/>
    <w:rsid w:val="004E10C9"/>
    <w:rsid w:val="004E2680"/>
    <w:rsid w:val="004E28F9"/>
    <w:rsid w:val="004E462E"/>
    <w:rsid w:val="004E56DC"/>
    <w:rsid w:val="004E76F4"/>
    <w:rsid w:val="004F0B4E"/>
    <w:rsid w:val="004F0B6C"/>
    <w:rsid w:val="004F2078"/>
    <w:rsid w:val="004F4DA3"/>
    <w:rsid w:val="00502D58"/>
    <w:rsid w:val="00506557"/>
    <w:rsid w:val="0050677A"/>
    <w:rsid w:val="005108D8"/>
    <w:rsid w:val="005116F9"/>
    <w:rsid w:val="005153A7"/>
    <w:rsid w:val="005219CF"/>
    <w:rsid w:val="00534B59"/>
    <w:rsid w:val="00536759"/>
    <w:rsid w:val="00537C62"/>
    <w:rsid w:val="00537CDD"/>
    <w:rsid w:val="00546970"/>
    <w:rsid w:val="00554E19"/>
    <w:rsid w:val="00560490"/>
    <w:rsid w:val="0056121F"/>
    <w:rsid w:val="00572505"/>
    <w:rsid w:val="0058203A"/>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2EA9"/>
    <w:rsid w:val="00604F14"/>
    <w:rsid w:val="00611B83"/>
    <w:rsid w:val="00613257"/>
    <w:rsid w:val="00620A71"/>
    <w:rsid w:val="00620D80"/>
    <w:rsid w:val="00622FD3"/>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ADE"/>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C00"/>
    <w:rsid w:val="00695FC2"/>
    <w:rsid w:val="00696949"/>
    <w:rsid w:val="00697052"/>
    <w:rsid w:val="006A46FB"/>
    <w:rsid w:val="006A5E28"/>
    <w:rsid w:val="006A697B"/>
    <w:rsid w:val="006A7AFF"/>
    <w:rsid w:val="006B16B1"/>
    <w:rsid w:val="006B1816"/>
    <w:rsid w:val="006B2099"/>
    <w:rsid w:val="006B50CF"/>
    <w:rsid w:val="006C03B8"/>
    <w:rsid w:val="006C5EC9"/>
    <w:rsid w:val="006C6059"/>
    <w:rsid w:val="006C7522"/>
    <w:rsid w:val="006C7E9B"/>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6C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BB"/>
    <w:rsid w:val="007D7526"/>
    <w:rsid w:val="007E4610"/>
    <w:rsid w:val="007E4715"/>
    <w:rsid w:val="007E505B"/>
    <w:rsid w:val="007E7091"/>
    <w:rsid w:val="007F1814"/>
    <w:rsid w:val="007F2FDB"/>
    <w:rsid w:val="007F76A9"/>
    <w:rsid w:val="00803FAE"/>
    <w:rsid w:val="0080605F"/>
    <w:rsid w:val="00807786"/>
    <w:rsid w:val="00811FCB"/>
    <w:rsid w:val="008158D6"/>
    <w:rsid w:val="00817196"/>
    <w:rsid w:val="008235DB"/>
    <w:rsid w:val="00824AB4"/>
    <w:rsid w:val="00825C42"/>
    <w:rsid w:val="00825D25"/>
    <w:rsid w:val="00827D6F"/>
    <w:rsid w:val="0083176D"/>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E8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1A6"/>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623"/>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3DE"/>
    <w:rsid w:val="009D4FF0"/>
    <w:rsid w:val="009D703C"/>
    <w:rsid w:val="009D718F"/>
    <w:rsid w:val="009E068F"/>
    <w:rsid w:val="009E07DB"/>
    <w:rsid w:val="009E14E0"/>
    <w:rsid w:val="009E35DB"/>
    <w:rsid w:val="009E47A3"/>
    <w:rsid w:val="009E7D1A"/>
    <w:rsid w:val="009F08F3"/>
    <w:rsid w:val="009F344F"/>
    <w:rsid w:val="00A048A8"/>
    <w:rsid w:val="00A04F49"/>
    <w:rsid w:val="00A12404"/>
    <w:rsid w:val="00A13E54"/>
    <w:rsid w:val="00A17F63"/>
    <w:rsid w:val="00A2052C"/>
    <w:rsid w:val="00A2193B"/>
    <w:rsid w:val="00A2351A"/>
    <w:rsid w:val="00A264A9"/>
    <w:rsid w:val="00A27785"/>
    <w:rsid w:val="00A30187"/>
    <w:rsid w:val="00A31AEC"/>
    <w:rsid w:val="00A3448A"/>
    <w:rsid w:val="00A36297"/>
    <w:rsid w:val="00A41E2B"/>
    <w:rsid w:val="00A43C84"/>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0F2"/>
    <w:rsid w:val="00B2763F"/>
    <w:rsid w:val="00B27AAC"/>
    <w:rsid w:val="00B30929"/>
    <w:rsid w:val="00B36BFF"/>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66AC"/>
    <w:rsid w:val="00BA76E0"/>
    <w:rsid w:val="00BB2A25"/>
    <w:rsid w:val="00BB3E5A"/>
    <w:rsid w:val="00BB51E9"/>
    <w:rsid w:val="00BB6308"/>
    <w:rsid w:val="00BC0FDC"/>
    <w:rsid w:val="00BC3053"/>
    <w:rsid w:val="00BC4D2E"/>
    <w:rsid w:val="00BD48AC"/>
    <w:rsid w:val="00BD5F1A"/>
    <w:rsid w:val="00BE1234"/>
    <w:rsid w:val="00BE2FA6"/>
    <w:rsid w:val="00BE333F"/>
    <w:rsid w:val="00BE65B6"/>
    <w:rsid w:val="00BE7406"/>
    <w:rsid w:val="00BE7603"/>
    <w:rsid w:val="00BF160C"/>
    <w:rsid w:val="00BF3279"/>
    <w:rsid w:val="00BF3B64"/>
    <w:rsid w:val="00BF74C7"/>
    <w:rsid w:val="00C015F1"/>
    <w:rsid w:val="00C01F33"/>
    <w:rsid w:val="00C02CC6"/>
    <w:rsid w:val="00C040F7"/>
    <w:rsid w:val="00C041B0"/>
    <w:rsid w:val="00C044AB"/>
    <w:rsid w:val="00C05706"/>
    <w:rsid w:val="00C07377"/>
    <w:rsid w:val="00C10478"/>
    <w:rsid w:val="00C10B80"/>
    <w:rsid w:val="00C12107"/>
    <w:rsid w:val="00C14D4B"/>
    <w:rsid w:val="00C154BB"/>
    <w:rsid w:val="00C24345"/>
    <w:rsid w:val="00C279B5"/>
    <w:rsid w:val="00C27C45"/>
    <w:rsid w:val="00C3719D"/>
    <w:rsid w:val="00C54995"/>
    <w:rsid w:val="00C54D41"/>
    <w:rsid w:val="00C604DE"/>
    <w:rsid w:val="00C60783"/>
    <w:rsid w:val="00C64672"/>
    <w:rsid w:val="00C70697"/>
    <w:rsid w:val="00C72EF4"/>
    <w:rsid w:val="00C75D2F"/>
    <w:rsid w:val="00C767BE"/>
    <w:rsid w:val="00C76E3C"/>
    <w:rsid w:val="00C81568"/>
    <w:rsid w:val="00C9027A"/>
    <w:rsid w:val="00C9068E"/>
    <w:rsid w:val="00C93C4B"/>
    <w:rsid w:val="00C944AB"/>
    <w:rsid w:val="00C95B40"/>
    <w:rsid w:val="00C95BD8"/>
    <w:rsid w:val="00CA1ED8"/>
    <w:rsid w:val="00CA7C41"/>
    <w:rsid w:val="00CB1F63"/>
    <w:rsid w:val="00CB7170"/>
    <w:rsid w:val="00CC040E"/>
    <w:rsid w:val="00CC111F"/>
    <w:rsid w:val="00CC2011"/>
    <w:rsid w:val="00CC3EA0"/>
    <w:rsid w:val="00CC7B45"/>
    <w:rsid w:val="00CD1188"/>
    <w:rsid w:val="00CD2ED1"/>
    <w:rsid w:val="00CD337B"/>
    <w:rsid w:val="00CE0424"/>
    <w:rsid w:val="00CE7561"/>
    <w:rsid w:val="00CF1354"/>
    <w:rsid w:val="00CF2AA6"/>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989"/>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D2E"/>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2368"/>
    <w:rsid w:val="00EE0C2D"/>
    <w:rsid w:val="00EE5B4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07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2AEA6"/>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7D1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9E7D1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7D1A"/>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7D1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E7D1A"/>
    <w:pPr>
      <w:numPr>
        <w:ilvl w:val="3"/>
      </w:numPr>
      <w:outlineLvl w:val="3"/>
    </w:pPr>
    <w:rPr>
      <w:sz w:val="24"/>
      <w:szCs w:val="24"/>
    </w:rPr>
  </w:style>
  <w:style w:type="paragraph" w:styleId="Heading5">
    <w:name w:val="heading 5"/>
    <w:basedOn w:val="Heading4"/>
    <w:next w:val="Normal"/>
    <w:qFormat/>
    <w:rsid w:val="009E7D1A"/>
    <w:pPr>
      <w:numPr>
        <w:ilvl w:val="4"/>
      </w:numPr>
      <w:outlineLvl w:val="4"/>
    </w:pPr>
    <w:rPr>
      <w:sz w:val="22"/>
      <w:szCs w:val="22"/>
    </w:rPr>
  </w:style>
  <w:style w:type="paragraph" w:styleId="Heading6">
    <w:name w:val="heading 6"/>
    <w:basedOn w:val="Normal"/>
    <w:next w:val="Normal"/>
    <w:qFormat/>
    <w:rsid w:val="009E7D1A"/>
    <w:pPr>
      <w:keepNext/>
      <w:keepLines/>
      <w:numPr>
        <w:ilvl w:val="5"/>
        <w:numId w:val="1"/>
      </w:numPr>
      <w:spacing w:before="120"/>
      <w:outlineLvl w:val="5"/>
    </w:pPr>
    <w:rPr>
      <w:rFonts w:cs="Arial"/>
    </w:rPr>
  </w:style>
  <w:style w:type="paragraph" w:styleId="Heading7">
    <w:name w:val="heading 7"/>
    <w:basedOn w:val="Normal"/>
    <w:next w:val="Normal"/>
    <w:qFormat/>
    <w:rsid w:val="009E7D1A"/>
    <w:pPr>
      <w:keepNext/>
      <w:keepLines/>
      <w:numPr>
        <w:ilvl w:val="6"/>
        <w:numId w:val="1"/>
      </w:numPr>
      <w:spacing w:before="120"/>
      <w:outlineLvl w:val="6"/>
    </w:pPr>
    <w:rPr>
      <w:rFonts w:cs="Arial"/>
    </w:rPr>
  </w:style>
  <w:style w:type="paragraph" w:styleId="Heading8">
    <w:name w:val="heading 8"/>
    <w:basedOn w:val="Heading7"/>
    <w:next w:val="Normal"/>
    <w:qFormat/>
    <w:rsid w:val="009E7D1A"/>
    <w:pPr>
      <w:numPr>
        <w:ilvl w:val="7"/>
      </w:numPr>
      <w:outlineLvl w:val="7"/>
    </w:pPr>
  </w:style>
  <w:style w:type="paragraph" w:styleId="Heading9">
    <w:name w:val="heading 9"/>
    <w:basedOn w:val="Heading8"/>
    <w:next w:val="Normal"/>
    <w:qFormat/>
    <w:rsid w:val="009E7D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7D1A"/>
    <w:pPr>
      <w:spacing w:before="180"/>
      <w:ind w:left="2693" w:hanging="2693"/>
    </w:pPr>
    <w:rPr>
      <w:b w:val="0"/>
      <w:bCs/>
    </w:rPr>
  </w:style>
  <w:style w:type="paragraph" w:styleId="TOC1">
    <w:name w:val="toc 1"/>
    <w:aliases w:val="Observation TOC2"/>
    <w:uiPriority w:val="39"/>
    <w:rsid w:val="009E7D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7D1A"/>
    <w:pPr>
      <w:keepNext/>
      <w:keepLines/>
      <w:spacing w:before="180"/>
      <w:jc w:val="center"/>
    </w:pPr>
  </w:style>
  <w:style w:type="paragraph" w:styleId="Caption">
    <w:name w:val="caption"/>
    <w:basedOn w:val="Normal"/>
    <w:next w:val="Normal"/>
    <w:qFormat/>
    <w:rsid w:val="009E7D1A"/>
    <w:pPr>
      <w:spacing w:after="240"/>
      <w:jc w:val="center"/>
    </w:pPr>
    <w:rPr>
      <w:b/>
      <w:bCs/>
    </w:rPr>
  </w:style>
  <w:style w:type="paragraph" w:styleId="TOC5">
    <w:name w:val="toc 5"/>
    <w:aliases w:val="Observation TOC"/>
    <w:basedOn w:val="TOC4"/>
    <w:semiHidden/>
    <w:rsid w:val="009E7D1A"/>
    <w:pPr>
      <w:tabs>
        <w:tab w:val="right" w:pos="1701"/>
      </w:tabs>
      <w:ind w:left="1701" w:hanging="1701"/>
    </w:pPr>
  </w:style>
  <w:style w:type="paragraph" w:styleId="TOC4">
    <w:name w:val="toc 4"/>
    <w:basedOn w:val="TOC3"/>
    <w:semiHidden/>
    <w:rsid w:val="009E7D1A"/>
    <w:pPr>
      <w:ind w:left="1418" w:hanging="1418"/>
    </w:pPr>
  </w:style>
  <w:style w:type="paragraph" w:styleId="TOC3">
    <w:name w:val="toc 3"/>
    <w:basedOn w:val="TOC2"/>
    <w:semiHidden/>
    <w:rsid w:val="009E7D1A"/>
    <w:pPr>
      <w:ind w:left="1134" w:hanging="1134"/>
    </w:pPr>
  </w:style>
  <w:style w:type="paragraph" w:styleId="TOC2">
    <w:name w:val="toc 2"/>
    <w:basedOn w:val="TOC1"/>
    <w:semiHidden/>
    <w:rsid w:val="009E7D1A"/>
    <w:pPr>
      <w:keepNext w:val="0"/>
      <w:spacing w:before="0"/>
      <w:ind w:left="851" w:hanging="851"/>
    </w:pPr>
    <w:rPr>
      <w:szCs w:val="20"/>
    </w:rPr>
  </w:style>
  <w:style w:type="paragraph" w:styleId="Index2">
    <w:name w:val="index 2"/>
    <w:basedOn w:val="Index1"/>
    <w:semiHidden/>
    <w:rsid w:val="009E7D1A"/>
    <w:pPr>
      <w:ind w:left="284"/>
    </w:pPr>
  </w:style>
  <w:style w:type="paragraph" w:styleId="Index1">
    <w:name w:val="index 1"/>
    <w:basedOn w:val="Normal"/>
    <w:semiHidden/>
    <w:rsid w:val="009E7D1A"/>
    <w:pPr>
      <w:keepLines/>
      <w:spacing w:after="0"/>
    </w:pPr>
  </w:style>
  <w:style w:type="paragraph" w:styleId="DocumentMap">
    <w:name w:val="Document Map"/>
    <w:basedOn w:val="Normal"/>
    <w:semiHidden/>
    <w:rsid w:val="009E7D1A"/>
    <w:pPr>
      <w:shd w:val="clear" w:color="auto" w:fill="000080"/>
    </w:pPr>
    <w:rPr>
      <w:rFonts w:ascii="Tahoma" w:hAnsi="Tahoma" w:cs="Tahoma"/>
    </w:rPr>
  </w:style>
  <w:style w:type="paragraph" w:styleId="ListNumber2">
    <w:name w:val="List Number 2"/>
    <w:basedOn w:val="ListNumber"/>
    <w:rsid w:val="009E7D1A"/>
    <w:pPr>
      <w:ind w:left="851"/>
    </w:pPr>
  </w:style>
  <w:style w:type="paragraph" w:styleId="ListNumber">
    <w:name w:val="List Number"/>
    <w:basedOn w:val="List"/>
    <w:rsid w:val="009E7D1A"/>
  </w:style>
  <w:style w:type="paragraph" w:styleId="List">
    <w:name w:val="List"/>
    <w:basedOn w:val="Normal"/>
    <w:rsid w:val="009E7D1A"/>
    <w:pPr>
      <w:ind w:left="568" w:hanging="284"/>
    </w:pPr>
  </w:style>
  <w:style w:type="paragraph" w:styleId="Header">
    <w:name w:val="header"/>
    <w:link w:val="HeaderChar"/>
    <w:rsid w:val="009E7D1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7D1A"/>
    <w:rPr>
      <w:b/>
      <w:bCs/>
      <w:position w:val="6"/>
      <w:sz w:val="16"/>
      <w:szCs w:val="16"/>
    </w:rPr>
  </w:style>
  <w:style w:type="paragraph" w:styleId="FootnoteText">
    <w:name w:val="footnote text"/>
    <w:basedOn w:val="Normal"/>
    <w:semiHidden/>
    <w:rsid w:val="009E7D1A"/>
    <w:pPr>
      <w:keepLines/>
      <w:spacing w:after="0"/>
      <w:ind w:left="454" w:hanging="454"/>
    </w:pPr>
    <w:rPr>
      <w:sz w:val="16"/>
      <w:szCs w:val="16"/>
    </w:rPr>
  </w:style>
  <w:style w:type="paragraph" w:customStyle="1" w:styleId="3GPPHeader">
    <w:name w:val="3GPP_Header"/>
    <w:basedOn w:val="Normal"/>
    <w:rsid w:val="009E7D1A"/>
    <w:pPr>
      <w:tabs>
        <w:tab w:val="left" w:pos="1701"/>
        <w:tab w:val="right" w:pos="9639"/>
      </w:tabs>
      <w:spacing w:after="240"/>
    </w:pPr>
    <w:rPr>
      <w:b/>
      <w:sz w:val="24"/>
    </w:rPr>
  </w:style>
  <w:style w:type="paragraph" w:styleId="TOC9">
    <w:name w:val="toc 9"/>
    <w:basedOn w:val="TOC8"/>
    <w:semiHidden/>
    <w:rsid w:val="009E7D1A"/>
    <w:pPr>
      <w:ind w:left="1418" w:hanging="1418"/>
    </w:pPr>
  </w:style>
  <w:style w:type="paragraph" w:styleId="TOC6">
    <w:name w:val="toc 6"/>
    <w:basedOn w:val="TOC5"/>
    <w:next w:val="Normal"/>
    <w:semiHidden/>
    <w:rsid w:val="009E7D1A"/>
    <w:pPr>
      <w:ind w:left="1985" w:hanging="1985"/>
    </w:pPr>
  </w:style>
  <w:style w:type="paragraph" w:styleId="TOC7">
    <w:name w:val="toc 7"/>
    <w:basedOn w:val="TOC6"/>
    <w:next w:val="Normal"/>
    <w:semiHidden/>
    <w:rsid w:val="009E7D1A"/>
    <w:pPr>
      <w:ind w:left="2268" w:hanging="2268"/>
    </w:pPr>
  </w:style>
  <w:style w:type="paragraph" w:styleId="ListBullet2">
    <w:name w:val="List Bullet 2"/>
    <w:basedOn w:val="ListBullet"/>
    <w:rsid w:val="009E7D1A"/>
    <w:pPr>
      <w:numPr>
        <w:numId w:val="6"/>
      </w:numPr>
    </w:pPr>
  </w:style>
  <w:style w:type="paragraph" w:styleId="ListBullet">
    <w:name w:val="List Bullet"/>
    <w:basedOn w:val="BodyText"/>
    <w:rsid w:val="009E7D1A"/>
    <w:pPr>
      <w:numPr>
        <w:numId w:val="5"/>
      </w:numPr>
    </w:pPr>
  </w:style>
  <w:style w:type="paragraph" w:styleId="ListBullet3">
    <w:name w:val="List Bullet 3"/>
    <w:basedOn w:val="ListBullet2"/>
    <w:rsid w:val="009E7D1A"/>
    <w:pPr>
      <w:numPr>
        <w:numId w:val="7"/>
      </w:numPr>
    </w:pPr>
  </w:style>
  <w:style w:type="paragraph" w:customStyle="1" w:styleId="EQ">
    <w:name w:val="EQ"/>
    <w:basedOn w:val="Normal"/>
    <w:next w:val="Normal"/>
    <w:rsid w:val="009E7D1A"/>
    <w:pPr>
      <w:keepLines/>
      <w:tabs>
        <w:tab w:val="center" w:pos="4536"/>
        <w:tab w:val="right" w:pos="9072"/>
      </w:tabs>
      <w:spacing w:after="180"/>
      <w:jc w:val="left"/>
    </w:pPr>
    <w:rPr>
      <w:noProof/>
      <w:lang w:eastAsia="en-US"/>
    </w:rPr>
  </w:style>
  <w:style w:type="paragraph" w:styleId="List2">
    <w:name w:val="List 2"/>
    <w:basedOn w:val="List"/>
    <w:rsid w:val="009E7D1A"/>
    <w:pPr>
      <w:ind w:left="851"/>
    </w:pPr>
  </w:style>
  <w:style w:type="paragraph" w:styleId="List3">
    <w:name w:val="List 3"/>
    <w:basedOn w:val="List2"/>
    <w:rsid w:val="009E7D1A"/>
    <w:pPr>
      <w:ind w:left="1135"/>
    </w:pPr>
  </w:style>
  <w:style w:type="paragraph" w:styleId="List4">
    <w:name w:val="List 4"/>
    <w:basedOn w:val="List3"/>
    <w:rsid w:val="009E7D1A"/>
    <w:pPr>
      <w:ind w:left="1418"/>
    </w:pPr>
  </w:style>
  <w:style w:type="paragraph" w:styleId="List5">
    <w:name w:val="List 5"/>
    <w:basedOn w:val="List4"/>
    <w:rsid w:val="009E7D1A"/>
    <w:pPr>
      <w:ind w:left="1702"/>
    </w:pPr>
  </w:style>
  <w:style w:type="paragraph" w:customStyle="1" w:styleId="EditorsNote">
    <w:name w:val="Editor's Note"/>
    <w:basedOn w:val="Normal"/>
    <w:rsid w:val="009E7D1A"/>
    <w:pPr>
      <w:keepLines/>
      <w:spacing w:after="180"/>
      <w:ind w:left="1135" w:hanging="851"/>
      <w:jc w:val="left"/>
    </w:pPr>
    <w:rPr>
      <w:color w:val="FF0000"/>
      <w:lang w:eastAsia="en-US"/>
    </w:rPr>
  </w:style>
  <w:style w:type="paragraph" w:styleId="ListBullet4">
    <w:name w:val="List Bullet 4"/>
    <w:basedOn w:val="ListBullet3"/>
    <w:rsid w:val="009E7D1A"/>
    <w:pPr>
      <w:numPr>
        <w:numId w:val="8"/>
      </w:numPr>
    </w:pPr>
  </w:style>
  <w:style w:type="paragraph" w:styleId="ListBullet5">
    <w:name w:val="List Bullet 5"/>
    <w:basedOn w:val="ListBullet4"/>
    <w:rsid w:val="009E7D1A"/>
    <w:pPr>
      <w:numPr>
        <w:numId w:val="4"/>
      </w:numPr>
    </w:pPr>
  </w:style>
  <w:style w:type="paragraph" w:styleId="Footer">
    <w:name w:val="footer"/>
    <w:basedOn w:val="Header"/>
    <w:semiHidden/>
    <w:rsid w:val="009E7D1A"/>
    <w:pPr>
      <w:jc w:val="center"/>
    </w:pPr>
    <w:rPr>
      <w:i/>
      <w:iCs/>
    </w:rPr>
  </w:style>
  <w:style w:type="paragraph" w:customStyle="1" w:styleId="Reference">
    <w:name w:val="Reference"/>
    <w:basedOn w:val="Normal"/>
    <w:rsid w:val="009E7D1A"/>
    <w:pPr>
      <w:numPr>
        <w:numId w:val="2"/>
      </w:numPr>
    </w:pPr>
  </w:style>
  <w:style w:type="paragraph" w:styleId="BalloonText">
    <w:name w:val="Balloon Text"/>
    <w:basedOn w:val="Normal"/>
    <w:semiHidden/>
    <w:rsid w:val="009E7D1A"/>
    <w:rPr>
      <w:rFonts w:ascii="Tahoma" w:hAnsi="Tahoma" w:cs="Tahoma"/>
      <w:sz w:val="16"/>
      <w:szCs w:val="16"/>
    </w:rPr>
  </w:style>
  <w:style w:type="character" w:styleId="PageNumber">
    <w:name w:val="page number"/>
    <w:basedOn w:val="DefaultParagraphFont"/>
    <w:semiHidden/>
    <w:rsid w:val="009E7D1A"/>
  </w:style>
  <w:style w:type="paragraph" w:styleId="BodyText">
    <w:name w:val="Body Text"/>
    <w:basedOn w:val="Normal"/>
    <w:link w:val="BodyTextChar"/>
    <w:rsid w:val="009E7D1A"/>
  </w:style>
  <w:style w:type="character" w:styleId="Hyperlink">
    <w:name w:val="Hyperlink"/>
    <w:uiPriority w:val="99"/>
    <w:rsid w:val="009E7D1A"/>
    <w:rPr>
      <w:color w:val="0000FF"/>
      <w:u w:val="single"/>
      <w:lang w:val="en-GB"/>
    </w:rPr>
  </w:style>
  <w:style w:type="character" w:styleId="FollowedHyperlink">
    <w:name w:val="FollowedHyperlink"/>
    <w:semiHidden/>
    <w:rsid w:val="009E7D1A"/>
    <w:rPr>
      <w:color w:val="FF0000"/>
      <w:u w:val="single"/>
    </w:rPr>
  </w:style>
  <w:style w:type="character" w:styleId="CommentReference">
    <w:name w:val="annotation reference"/>
    <w:semiHidden/>
    <w:rsid w:val="009E7D1A"/>
    <w:rPr>
      <w:sz w:val="16"/>
      <w:szCs w:val="16"/>
    </w:rPr>
  </w:style>
  <w:style w:type="paragraph" w:styleId="CommentText">
    <w:name w:val="annotation text"/>
    <w:basedOn w:val="Normal"/>
    <w:semiHidden/>
    <w:rsid w:val="009E7D1A"/>
  </w:style>
  <w:style w:type="paragraph" w:styleId="CommentSubject">
    <w:name w:val="annotation subject"/>
    <w:basedOn w:val="CommentText"/>
    <w:next w:val="CommentText"/>
    <w:semiHidden/>
    <w:rsid w:val="009E7D1A"/>
    <w:rPr>
      <w:b/>
      <w:bCs/>
    </w:rPr>
  </w:style>
  <w:style w:type="character" w:customStyle="1" w:styleId="Heading1Char">
    <w:name w:val="Heading 1 Char"/>
    <w:aliases w:val="H1 Char"/>
    <w:link w:val="Heading1"/>
    <w:rsid w:val="009E7D1A"/>
    <w:rPr>
      <w:rFonts w:ascii="Arial" w:hAnsi="Arial" w:cs="Arial"/>
      <w:sz w:val="36"/>
      <w:szCs w:val="36"/>
      <w:lang w:val="en-GB" w:eastAsia="zh-CN"/>
    </w:rPr>
  </w:style>
  <w:style w:type="paragraph" w:customStyle="1" w:styleId="B1">
    <w:name w:val="B1"/>
    <w:basedOn w:val="List"/>
    <w:link w:val="B1Char"/>
    <w:rsid w:val="009E7D1A"/>
    <w:pPr>
      <w:spacing w:after="180"/>
      <w:jc w:val="left"/>
    </w:pPr>
    <w:rPr>
      <w:lang w:eastAsia="en-US"/>
    </w:rPr>
  </w:style>
  <w:style w:type="paragraph" w:customStyle="1" w:styleId="B2">
    <w:name w:val="B2"/>
    <w:basedOn w:val="List2"/>
    <w:rsid w:val="009E7D1A"/>
    <w:pPr>
      <w:spacing w:after="180"/>
      <w:jc w:val="left"/>
    </w:pPr>
    <w:rPr>
      <w:lang w:eastAsia="en-US"/>
    </w:rPr>
  </w:style>
  <w:style w:type="paragraph" w:customStyle="1" w:styleId="B3">
    <w:name w:val="B3"/>
    <w:basedOn w:val="List3"/>
    <w:rsid w:val="009E7D1A"/>
    <w:pPr>
      <w:spacing w:after="180"/>
      <w:jc w:val="left"/>
    </w:pPr>
    <w:rPr>
      <w:lang w:eastAsia="en-US"/>
    </w:rPr>
  </w:style>
  <w:style w:type="paragraph" w:customStyle="1" w:styleId="B4">
    <w:name w:val="B4"/>
    <w:basedOn w:val="List4"/>
    <w:rsid w:val="009E7D1A"/>
    <w:pPr>
      <w:spacing w:after="180"/>
      <w:jc w:val="left"/>
    </w:pPr>
    <w:rPr>
      <w:lang w:eastAsia="en-US"/>
    </w:rPr>
  </w:style>
  <w:style w:type="paragraph" w:customStyle="1" w:styleId="Proposal">
    <w:name w:val="Proposal"/>
    <w:basedOn w:val="Normal"/>
    <w:rsid w:val="009E7D1A"/>
    <w:pPr>
      <w:numPr>
        <w:numId w:val="3"/>
      </w:numPr>
      <w:tabs>
        <w:tab w:val="clear" w:pos="1304"/>
        <w:tab w:val="left" w:pos="1701"/>
      </w:tabs>
      <w:ind w:left="1701" w:hanging="1701"/>
    </w:pPr>
    <w:rPr>
      <w:b/>
      <w:bCs/>
    </w:rPr>
  </w:style>
  <w:style w:type="character" w:customStyle="1" w:styleId="BodyTextChar">
    <w:name w:val="Body Text Char"/>
    <w:link w:val="BodyText"/>
    <w:rsid w:val="009E7D1A"/>
    <w:rPr>
      <w:rFonts w:ascii="Arial" w:hAnsi="Arial"/>
      <w:lang w:val="en-GB" w:eastAsia="zh-CN"/>
    </w:rPr>
  </w:style>
  <w:style w:type="paragraph" w:customStyle="1" w:styleId="B5">
    <w:name w:val="B5"/>
    <w:basedOn w:val="List5"/>
    <w:rsid w:val="009E7D1A"/>
    <w:pPr>
      <w:spacing w:after="180"/>
      <w:jc w:val="left"/>
    </w:pPr>
    <w:rPr>
      <w:lang w:eastAsia="en-US"/>
    </w:rPr>
  </w:style>
  <w:style w:type="paragraph" w:customStyle="1" w:styleId="EX">
    <w:name w:val="EX"/>
    <w:basedOn w:val="Normal"/>
    <w:rsid w:val="009E7D1A"/>
    <w:pPr>
      <w:keepLines/>
      <w:spacing w:after="180"/>
      <w:ind w:left="1702" w:hanging="1418"/>
      <w:jc w:val="left"/>
    </w:pPr>
    <w:rPr>
      <w:lang w:eastAsia="en-US"/>
    </w:rPr>
  </w:style>
  <w:style w:type="paragraph" w:customStyle="1" w:styleId="EW">
    <w:name w:val="EW"/>
    <w:basedOn w:val="EX"/>
    <w:rsid w:val="009E7D1A"/>
    <w:pPr>
      <w:spacing w:after="0"/>
    </w:pPr>
  </w:style>
  <w:style w:type="paragraph" w:customStyle="1" w:styleId="TAL">
    <w:name w:val="TAL"/>
    <w:basedOn w:val="Normal"/>
    <w:rsid w:val="009E7D1A"/>
    <w:pPr>
      <w:keepNext/>
      <w:keepLines/>
      <w:spacing w:after="0"/>
      <w:jc w:val="left"/>
    </w:pPr>
    <w:rPr>
      <w:sz w:val="18"/>
      <w:lang w:eastAsia="en-US"/>
    </w:rPr>
  </w:style>
  <w:style w:type="paragraph" w:customStyle="1" w:styleId="TAC">
    <w:name w:val="TAC"/>
    <w:basedOn w:val="TAL"/>
    <w:rsid w:val="009E7D1A"/>
    <w:pPr>
      <w:jc w:val="center"/>
    </w:pPr>
  </w:style>
  <w:style w:type="paragraph" w:customStyle="1" w:styleId="TAH">
    <w:name w:val="TAH"/>
    <w:basedOn w:val="TAC"/>
    <w:rsid w:val="009E7D1A"/>
    <w:rPr>
      <w:b/>
    </w:rPr>
  </w:style>
  <w:style w:type="paragraph" w:customStyle="1" w:styleId="TAN">
    <w:name w:val="TAN"/>
    <w:basedOn w:val="TAL"/>
    <w:rsid w:val="009E7D1A"/>
    <w:pPr>
      <w:ind w:left="851" w:hanging="851"/>
    </w:pPr>
  </w:style>
  <w:style w:type="paragraph" w:customStyle="1" w:styleId="TAR">
    <w:name w:val="TAR"/>
    <w:basedOn w:val="TAL"/>
    <w:rsid w:val="009E7D1A"/>
    <w:pPr>
      <w:jc w:val="right"/>
    </w:pPr>
  </w:style>
  <w:style w:type="paragraph" w:customStyle="1" w:styleId="TH">
    <w:name w:val="TH"/>
    <w:basedOn w:val="Normal"/>
    <w:rsid w:val="009E7D1A"/>
    <w:pPr>
      <w:keepNext/>
      <w:keepLines/>
      <w:spacing w:before="60" w:after="180"/>
      <w:jc w:val="center"/>
    </w:pPr>
    <w:rPr>
      <w:b/>
      <w:lang w:eastAsia="en-US"/>
    </w:rPr>
  </w:style>
  <w:style w:type="paragraph" w:customStyle="1" w:styleId="TF">
    <w:name w:val="TF"/>
    <w:basedOn w:val="TH"/>
    <w:rsid w:val="009E7D1A"/>
    <w:pPr>
      <w:keepNext w:val="0"/>
      <w:spacing w:before="0" w:after="240"/>
    </w:pPr>
  </w:style>
  <w:style w:type="paragraph" w:customStyle="1" w:styleId="TT">
    <w:name w:val="TT"/>
    <w:basedOn w:val="Heading1"/>
    <w:next w:val="Normal"/>
    <w:rsid w:val="009E7D1A"/>
    <w:pPr>
      <w:numPr>
        <w:numId w:val="0"/>
      </w:numPr>
      <w:ind w:left="1134" w:hanging="1134"/>
      <w:outlineLvl w:val="9"/>
    </w:pPr>
    <w:rPr>
      <w:rFonts w:cs="Times New Roman"/>
      <w:szCs w:val="20"/>
      <w:lang w:eastAsia="en-US"/>
    </w:rPr>
  </w:style>
  <w:style w:type="paragraph" w:customStyle="1" w:styleId="ZA">
    <w:name w:val="ZA"/>
    <w:rsid w:val="009E7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7D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7D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E7D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E7D1A"/>
  </w:style>
  <w:style w:type="paragraph" w:customStyle="1" w:styleId="ZH">
    <w:name w:val="ZH"/>
    <w:rsid w:val="009E7D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E7D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E7D1A"/>
    <w:pPr>
      <w:framePr w:hRule="auto" w:wrap="notBeside" w:y="852"/>
    </w:pPr>
    <w:rPr>
      <w:i w:val="0"/>
      <w:sz w:val="40"/>
    </w:rPr>
  </w:style>
  <w:style w:type="paragraph" w:customStyle="1" w:styleId="ZU">
    <w:name w:val="ZU"/>
    <w:rsid w:val="009E7D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7D1A"/>
    <w:pPr>
      <w:framePr w:wrap="notBeside" w:y="16161"/>
    </w:pPr>
  </w:style>
  <w:style w:type="paragraph" w:customStyle="1" w:styleId="FP">
    <w:name w:val="FP"/>
    <w:basedOn w:val="Normal"/>
    <w:rsid w:val="009E7D1A"/>
    <w:pPr>
      <w:spacing w:after="0"/>
      <w:jc w:val="left"/>
    </w:pPr>
    <w:rPr>
      <w:lang w:eastAsia="en-US"/>
    </w:rPr>
  </w:style>
  <w:style w:type="paragraph" w:customStyle="1" w:styleId="Observation">
    <w:name w:val="Observation"/>
    <w:basedOn w:val="Proposal"/>
    <w:qFormat/>
    <w:rsid w:val="009E7D1A"/>
    <w:pPr>
      <w:numPr>
        <w:numId w:val="13"/>
      </w:numPr>
      <w:ind w:left="1701" w:hanging="1701"/>
    </w:pPr>
  </w:style>
  <w:style w:type="paragraph" w:styleId="TableofFigures">
    <w:name w:val="table of figures"/>
    <w:basedOn w:val="Normal"/>
    <w:next w:val="Normal"/>
    <w:uiPriority w:val="99"/>
    <w:rsid w:val="009E7D1A"/>
    <w:pPr>
      <w:ind w:left="1418" w:hanging="1418"/>
      <w:jc w:val="left"/>
    </w:pPr>
    <w:rPr>
      <w:b/>
    </w:rPr>
  </w:style>
  <w:style w:type="paragraph" w:customStyle="1" w:styleId="Doc-text2">
    <w:name w:val="Doc-text2"/>
    <w:basedOn w:val="Normal"/>
    <w:link w:val="Doc-text2Char"/>
    <w:qFormat/>
    <w:rsid w:val="009E7D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7D1A"/>
    <w:rPr>
      <w:rFonts w:ascii="Arial" w:eastAsia="MS Mincho" w:hAnsi="Arial"/>
      <w:szCs w:val="24"/>
      <w:lang w:val="en-GB" w:eastAsia="en-GB"/>
    </w:rPr>
  </w:style>
  <w:style w:type="character" w:customStyle="1" w:styleId="HeaderChar">
    <w:name w:val="Header Char"/>
    <w:basedOn w:val="DefaultParagraphFont"/>
    <w:link w:val="Header"/>
    <w:rsid w:val="001D41B8"/>
    <w:rPr>
      <w:rFonts w:ascii="Arial" w:hAnsi="Arial" w:cs="Arial"/>
      <w:b/>
      <w:bCs/>
      <w:noProof/>
      <w:sz w:val="18"/>
      <w:szCs w:val="18"/>
      <w:lang w:eastAsia="zh-CN"/>
    </w:rPr>
  </w:style>
  <w:style w:type="character" w:customStyle="1" w:styleId="B1Char">
    <w:name w:val="B1 Char"/>
    <w:link w:val="B1"/>
    <w:locked/>
    <w:rsid w:val="005820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38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9522790">
      <w:bodyDiv w:val="1"/>
      <w:marLeft w:val="0"/>
      <w:marRight w:val="0"/>
      <w:marTop w:val="0"/>
      <w:marBottom w:val="0"/>
      <w:divBdr>
        <w:top w:val="none" w:sz="0" w:space="0" w:color="auto"/>
        <w:left w:val="none" w:sz="0" w:space="0" w:color="auto"/>
        <w:bottom w:val="none" w:sz="0" w:space="0" w:color="auto"/>
        <w:right w:val="none" w:sz="0" w:space="0" w:color="auto"/>
      </w:divBdr>
    </w:div>
    <w:div w:id="1976595333">
      <w:bodyDiv w:val="1"/>
      <w:marLeft w:val="0"/>
      <w:marRight w:val="0"/>
      <w:marTop w:val="0"/>
      <w:marBottom w:val="0"/>
      <w:divBdr>
        <w:top w:val="none" w:sz="0" w:space="0" w:color="auto"/>
        <w:left w:val="none" w:sz="0" w:space="0" w:color="auto"/>
        <w:bottom w:val="none" w:sz="0" w:space="0" w:color="auto"/>
        <w:right w:val="none" w:sz="0" w:space="0" w:color="auto"/>
      </w:divBdr>
    </w:div>
    <w:div w:id="19807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5NUHHDQN7SK2-1476151046-17914</_dlc_DocId>
    <_dlc_DocIdUrl xmlns="f166a696-7b5b-4ccd-9f0c-ffde0cceec81">
      <Url>https://ericsson.sharepoint.com/sites/star/_layouts/15/DocIdRedir.aspx?ID=5NUHHDQN7SK2-1476151046-17914</Url>
      <Description>5NUHHDQN7SK2-1476151046-17914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3B048A6-97DC-9F47-B9DB-EC723A7C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C:\Data\SVN\SWEA\Swea-L23\RAN2_101_Athens\MyContributions\R2-180xxxx - Contribution Template.dotx</Template>
  <TotalTime>47</TotalTime>
  <Pages>3</Pages>
  <Words>955</Words>
  <Characters>5067</Characters>
  <Application>Microsoft Office Word</Application>
  <DocSecurity>0</DocSecurity>
  <Lines>123</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48</cp:revision>
  <cp:lastPrinted>2008-01-31T16:09:00Z</cp:lastPrinted>
  <dcterms:created xsi:type="dcterms:W3CDTF">2018-02-11T09:37:00Z</dcterms:created>
  <dcterms:modified xsi:type="dcterms:W3CDTF">2018-02-15T20:47:00Z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950bf4fe-d798-44a5-aa64-339a3a29a444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